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B" w:rsidRPr="00B022FF" w:rsidRDefault="00CF52F3" w:rsidP="00AE6B24">
      <w:pPr>
        <w:spacing w:line="240" w:lineRule="auto"/>
        <w:contextualSpacing/>
        <w:jc w:val="center"/>
        <w:rPr>
          <w:rFonts w:ascii="Lucida Bright" w:hAnsi="Lucida Bright"/>
          <w:b/>
        </w:rPr>
      </w:pPr>
      <w:r w:rsidRPr="00B022FF">
        <w:rPr>
          <w:rFonts w:ascii="Lucida Bright" w:hAnsi="Lucida Bright"/>
          <w:b/>
        </w:rPr>
        <w:t>RÈGLEMENT NUMÉRO 133</w:t>
      </w:r>
    </w:p>
    <w:p w:rsidR="00AE6B24" w:rsidRPr="00B022FF" w:rsidRDefault="00AE6B24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  <w:r w:rsidRPr="00B022FF">
        <w:rPr>
          <w:rFonts w:ascii="Lucida Bright" w:hAnsi="Lucida Bright"/>
          <w:b/>
        </w:rPr>
        <w:t>ÉTABLI</w:t>
      </w:r>
      <w:r w:rsidR="00146669" w:rsidRPr="00B022FF">
        <w:rPr>
          <w:rFonts w:ascii="Lucida Bright" w:hAnsi="Lucida Bright"/>
          <w:b/>
        </w:rPr>
        <w:t>SSANT LES TAUX DE TAXATION</w:t>
      </w:r>
      <w:r w:rsidRPr="00B022FF">
        <w:rPr>
          <w:rFonts w:ascii="Lucida Bright" w:hAnsi="Lucida Bright"/>
          <w:b/>
        </w:rPr>
        <w:t xml:space="preserve"> DE LA MUNICIPALITÉ DE SAINTE-FÉLICIT</w:t>
      </w:r>
      <w:r w:rsidR="00CF52F3" w:rsidRPr="00B022FF">
        <w:rPr>
          <w:rFonts w:ascii="Lucida Bright" w:hAnsi="Lucida Bright"/>
          <w:b/>
        </w:rPr>
        <w:t>É POUR L’EXERCICE FINANCIER 2020</w:t>
      </w:r>
    </w:p>
    <w:p w:rsidR="008E1A4E" w:rsidRPr="00B022FF" w:rsidRDefault="008E1A4E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</w:p>
    <w:p w:rsidR="00AE6B24" w:rsidRPr="00B022FF" w:rsidRDefault="00AE6B24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</w:p>
    <w:p w:rsidR="00AE6B24" w:rsidRPr="00B022FF" w:rsidRDefault="00AE6B24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ATTENDU QUE les prévisions budgétaire</w:t>
      </w:r>
      <w:r w:rsidR="00CF52F3" w:rsidRPr="00B022FF">
        <w:rPr>
          <w:rFonts w:ascii="Lucida Bright" w:hAnsi="Lucida Bright"/>
        </w:rPr>
        <w:t>s pour l’exercice financier 2020</w:t>
      </w:r>
      <w:r w:rsidRPr="00B022FF">
        <w:rPr>
          <w:rFonts w:ascii="Lucida Bright" w:hAnsi="Lucida Bright"/>
        </w:rPr>
        <w:t xml:space="preserve"> de la Municipalité de Sainte-Félicité ont été étudiées par le conseil municipal;</w:t>
      </w:r>
    </w:p>
    <w:p w:rsidR="00F86227" w:rsidRPr="00B022FF" w:rsidRDefault="00F86227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F86227" w:rsidRPr="00B022FF" w:rsidRDefault="00146669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ATTENDU QUE les</w:t>
      </w:r>
      <w:r w:rsidR="00F86227" w:rsidRPr="00B022FF">
        <w:rPr>
          <w:rFonts w:ascii="Lucida Bright" w:hAnsi="Lucida Bright"/>
        </w:rPr>
        <w:t xml:space="preserve"> prévisions budgétaires comportent des </w:t>
      </w:r>
      <w:r w:rsidR="00C72843" w:rsidRPr="00B022FF">
        <w:rPr>
          <w:rFonts w:ascii="Lucida Bright" w:hAnsi="Lucida Bright"/>
        </w:rPr>
        <w:t>dépenses de l’ordre d</w:t>
      </w:r>
      <w:r w:rsidR="00CF52F3" w:rsidRPr="00B022FF">
        <w:rPr>
          <w:rFonts w:ascii="Lucida Bright" w:hAnsi="Lucida Bright"/>
        </w:rPr>
        <w:t>e 1</w:t>
      </w:r>
      <w:proofErr w:type="gramStart"/>
      <w:r w:rsidR="00CF52F3" w:rsidRPr="00B022FF">
        <w:rPr>
          <w:rFonts w:ascii="Lucida Bright" w:hAnsi="Lucida Bright"/>
        </w:rPr>
        <w:t>,281,774</w:t>
      </w:r>
      <w:proofErr w:type="gramEnd"/>
      <w:r w:rsidR="00F86227" w:rsidRPr="00B022FF">
        <w:rPr>
          <w:rFonts w:ascii="Lucida Bright" w:hAnsi="Lucida Bright"/>
        </w:rPr>
        <w:t xml:space="preserve">$ pour l’exercice financier </w:t>
      </w:r>
      <w:r w:rsidR="005D4D3F">
        <w:rPr>
          <w:rFonts w:ascii="Lucida Bright" w:hAnsi="Lucida Bright"/>
        </w:rPr>
        <w:t>se terminant le 31 décembre 2020</w:t>
      </w:r>
      <w:r w:rsidR="00F86227" w:rsidRPr="00B022FF">
        <w:rPr>
          <w:rFonts w:ascii="Lucida Bright" w:hAnsi="Lucida Bright"/>
        </w:rPr>
        <w:t>;</w:t>
      </w:r>
    </w:p>
    <w:p w:rsidR="00EF16AA" w:rsidRPr="00B022FF" w:rsidRDefault="00EF16AA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522F11" w:rsidRPr="00B022FF" w:rsidRDefault="00EF16AA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ATTENDU QU’un avis publi</w:t>
      </w:r>
      <w:r w:rsidR="00CF52F3" w:rsidRPr="00B022FF">
        <w:rPr>
          <w:rFonts w:ascii="Lucida Bright" w:hAnsi="Lucida Bright"/>
        </w:rPr>
        <w:t>c a été publié le 10 décembre 2019</w:t>
      </w:r>
      <w:r w:rsidRPr="00B022FF">
        <w:rPr>
          <w:rFonts w:ascii="Lucida Bright" w:hAnsi="Lucida Bright"/>
        </w:rPr>
        <w:t>;</w:t>
      </w:r>
    </w:p>
    <w:p w:rsidR="00B532A6" w:rsidRPr="00B022FF" w:rsidRDefault="00B532A6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B532A6" w:rsidRPr="00B022FF" w:rsidRDefault="005D7D9F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AT</w:t>
      </w:r>
      <w:r w:rsidR="00B532A6" w:rsidRPr="00B022FF">
        <w:rPr>
          <w:rFonts w:ascii="Lucida Bright" w:hAnsi="Lucida Bright"/>
        </w:rPr>
        <w:t>TENDU QUE l</w:t>
      </w:r>
      <w:r w:rsidR="00CF52F3" w:rsidRPr="00B022FF">
        <w:rPr>
          <w:rFonts w:ascii="Lucida Bright" w:hAnsi="Lucida Bright"/>
        </w:rPr>
        <w:t>e projet de règlement numéro 133</w:t>
      </w:r>
      <w:r w:rsidR="00B532A6" w:rsidRPr="00B022FF">
        <w:rPr>
          <w:rFonts w:ascii="Lucida Bright" w:hAnsi="Lucida Bright"/>
        </w:rPr>
        <w:t xml:space="preserve"> établissant les prévisions budgétaire</w:t>
      </w:r>
      <w:r w:rsidR="00CF52F3" w:rsidRPr="00B022FF">
        <w:rPr>
          <w:rFonts w:ascii="Lucida Bright" w:hAnsi="Lucida Bright"/>
        </w:rPr>
        <w:t>s pour l’exercice financie</w:t>
      </w:r>
      <w:r w:rsidR="00974D6E">
        <w:rPr>
          <w:rFonts w:ascii="Lucida Bright" w:hAnsi="Lucida Bright"/>
        </w:rPr>
        <w:t>r 2020 a été présenté par le conseiller, Monsieur Éric Normand;</w:t>
      </w:r>
    </w:p>
    <w:p w:rsidR="00F86227" w:rsidRPr="00B022FF" w:rsidRDefault="00F86227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F86227" w:rsidRPr="00B022FF" w:rsidRDefault="00F86227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 xml:space="preserve">ATTENDU QU’un avis de motion a été donné </w:t>
      </w:r>
      <w:r w:rsidR="00B154FE" w:rsidRPr="00B022FF">
        <w:rPr>
          <w:rFonts w:ascii="Lucida Bright" w:hAnsi="Lucida Bright"/>
        </w:rPr>
        <w:t>par</w:t>
      </w:r>
      <w:r w:rsidR="00684790" w:rsidRPr="00B022FF">
        <w:rPr>
          <w:rFonts w:ascii="Lucida Bright" w:hAnsi="Lucida Bright"/>
        </w:rPr>
        <w:t xml:space="preserve"> </w:t>
      </w:r>
      <w:r w:rsidR="00974D6E">
        <w:rPr>
          <w:rFonts w:ascii="Lucida Bright" w:hAnsi="Lucida Bright"/>
        </w:rPr>
        <w:t>le conseiller</w:t>
      </w:r>
      <w:r w:rsidR="00AC1334" w:rsidRPr="00B022FF">
        <w:rPr>
          <w:rFonts w:ascii="Lucida Bright" w:hAnsi="Lucida Bright"/>
        </w:rPr>
        <w:t>,</w:t>
      </w:r>
      <w:r w:rsidR="00974D6E">
        <w:rPr>
          <w:rFonts w:ascii="Lucida Bright" w:hAnsi="Lucida Bright"/>
        </w:rPr>
        <w:t xml:space="preserve"> Monsieur Éric Normand</w:t>
      </w:r>
      <w:r w:rsidR="00EE4B0E" w:rsidRPr="00B022FF">
        <w:rPr>
          <w:rFonts w:ascii="Lucida Bright" w:hAnsi="Lucida Bright"/>
        </w:rPr>
        <w:t xml:space="preserve"> lors d</w:t>
      </w:r>
      <w:r w:rsidR="00A2779B" w:rsidRPr="00B022FF">
        <w:rPr>
          <w:rFonts w:ascii="Lucida Bright" w:hAnsi="Lucida Bright"/>
        </w:rPr>
        <w:t>e la séance</w:t>
      </w:r>
      <w:r w:rsidR="001D6678" w:rsidRPr="00B022FF">
        <w:rPr>
          <w:rFonts w:ascii="Lucida Bright" w:hAnsi="Lucida Bright"/>
        </w:rPr>
        <w:t xml:space="preserve"> extraordinaire</w:t>
      </w:r>
      <w:r w:rsidR="00A2779B" w:rsidRPr="00B022FF">
        <w:rPr>
          <w:rFonts w:ascii="Lucida Bright" w:hAnsi="Lucida Bright"/>
        </w:rPr>
        <w:t xml:space="preserve"> tenu</w:t>
      </w:r>
      <w:r w:rsidR="00CF52F3" w:rsidRPr="00B022FF">
        <w:rPr>
          <w:rFonts w:ascii="Lucida Bright" w:hAnsi="Lucida Bright"/>
        </w:rPr>
        <w:t>e le 18</w:t>
      </w:r>
      <w:r w:rsidR="00C72843" w:rsidRPr="00B022FF">
        <w:rPr>
          <w:rFonts w:ascii="Lucida Bright" w:hAnsi="Lucida Bright"/>
        </w:rPr>
        <w:t xml:space="preserve"> décemb</w:t>
      </w:r>
      <w:r w:rsidR="00CF52F3" w:rsidRPr="00B022FF">
        <w:rPr>
          <w:rFonts w:ascii="Lucida Bright" w:hAnsi="Lucida Bright"/>
        </w:rPr>
        <w:t>re 2019</w:t>
      </w:r>
      <w:r w:rsidR="00EE4B0E" w:rsidRPr="00B022FF">
        <w:rPr>
          <w:rFonts w:ascii="Lucida Bright" w:hAnsi="Lucida Bright"/>
        </w:rPr>
        <w:t>;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EN CONSÉQUENCE, il est p</w:t>
      </w:r>
      <w:r w:rsidR="0065701B" w:rsidRPr="00B022FF">
        <w:rPr>
          <w:rFonts w:ascii="Lucida Bright" w:hAnsi="Lucida Bright"/>
        </w:rPr>
        <w:t>roposé</w:t>
      </w:r>
      <w:r w:rsidR="004855D9" w:rsidRPr="00B022FF">
        <w:rPr>
          <w:rFonts w:ascii="Lucida Bright" w:hAnsi="Lucida Bright"/>
        </w:rPr>
        <w:t xml:space="preserve"> par </w:t>
      </w:r>
      <w:r w:rsidR="001C3BC0">
        <w:rPr>
          <w:rFonts w:ascii="Lucida Bright" w:hAnsi="Lucida Bright"/>
        </w:rPr>
        <w:t xml:space="preserve">Monsieur Éric Normand </w:t>
      </w:r>
      <w:r w:rsidR="00036808" w:rsidRPr="00B022FF">
        <w:rPr>
          <w:rFonts w:ascii="Lucida Bright" w:hAnsi="Lucida Bright"/>
        </w:rPr>
        <w:t>et réso</w:t>
      </w:r>
      <w:r w:rsidR="00146669" w:rsidRPr="00B022FF">
        <w:rPr>
          <w:rFonts w:ascii="Lucida Bright" w:hAnsi="Lucida Bright"/>
        </w:rPr>
        <w:t xml:space="preserve">lu à l’unanimité </w:t>
      </w:r>
      <w:r w:rsidR="00CA2497" w:rsidRPr="00B022FF">
        <w:rPr>
          <w:rFonts w:ascii="Lucida Bright" w:hAnsi="Lucida Bright"/>
        </w:rPr>
        <w:t>des conseillers :</w:t>
      </w:r>
    </w:p>
    <w:p w:rsidR="00036808" w:rsidRPr="00B022FF" w:rsidRDefault="00036808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 xml:space="preserve">Qu’il est en conséquence ordonné et statué par le présent règlement de </w:t>
      </w:r>
      <w:r w:rsidR="00CF52F3" w:rsidRPr="00B022FF">
        <w:rPr>
          <w:rFonts w:ascii="Lucida Bright" w:hAnsi="Lucida Bright"/>
        </w:rPr>
        <w:t>ce conseil portant le numéro 133</w:t>
      </w:r>
      <w:r w:rsidRPr="00B022FF">
        <w:rPr>
          <w:rFonts w:ascii="Lucida Bright" w:hAnsi="Lucida Bright"/>
        </w:rPr>
        <w:t xml:space="preserve"> et ce conseil ordonne et statue comme suit :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  <w:r w:rsidRPr="00B022FF">
        <w:rPr>
          <w:rFonts w:ascii="Lucida Bright" w:hAnsi="Lucida Bright"/>
          <w:b/>
        </w:rPr>
        <w:t>ARTICLE 1 :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  <w:i/>
        </w:rPr>
      </w:pPr>
      <w:r w:rsidRPr="00B022FF">
        <w:rPr>
          <w:rFonts w:ascii="Lucida Bright" w:hAnsi="Lucida Bright"/>
        </w:rPr>
        <w:t>Le présent règlement porte le nom de « </w:t>
      </w:r>
      <w:r w:rsidR="00CF52F3" w:rsidRPr="00B022FF">
        <w:rPr>
          <w:rFonts w:ascii="Lucida Bright" w:hAnsi="Lucida Bright"/>
          <w:i/>
        </w:rPr>
        <w:t>Règlement numéro 133</w:t>
      </w:r>
      <w:r w:rsidR="00146669" w:rsidRPr="00B022FF">
        <w:rPr>
          <w:rFonts w:ascii="Lucida Bright" w:hAnsi="Lucida Bright"/>
          <w:i/>
        </w:rPr>
        <w:t xml:space="preserve"> établissant les taux de taxation de la Municipalité de Sainte-Félicité pour l’</w:t>
      </w:r>
      <w:r w:rsidR="00CF52F3" w:rsidRPr="00B022FF">
        <w:rPr>
          <w:rFonts w:ascii="Lucida Bright" w:hAnsi="Lucida Bright"/>
          <w:i/>
        </w:rPr>
        <w:t>exercice financier 2020</w:t>
      </w:r>
      <w:r w:rsidRPr="00B022FF">
        <w:rPr>
          <w:rFonts w:ascii="Lucida Bright" w:hAnsi="Lucida Bright"/>
          <w:i/>
        </w:rPr>
        <w:t>».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  <w:i/>
        </w:rPr>
      </w:pP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  <w:r w:rsidRPr="00B022FF">
        <w:rPr>
          <w:rFonts w:ascii="Lucida Bright" w:hAnsi="Lucida Bright"/>
          <w:b/>
        </w:rPr>
        <w:t>ARTICLE 2 :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Le préambule du présent règlement en fait partie intégrante.</w:t>
      </w: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EE4B0E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  <w:b/>
        </w:rPr>
      </w:pPr>
      <w:r w:rsidRPr="00B022FF">
        <w:rPr>
          <w:rFonts w:ascii="Lucida Bright" w:hAnsi="Lucida Bright"/>
          <w:b/>
        </w:rPr>
        <w:t>ARTICLE 3 :</w:t>
      </w:r>
    </w:p>
    <w:p w:rsidR="00DE6DC6" w:rsidRPr="00B022FF" w:rsidRDefault="00EE4B0E" w:rsidP="00AE6B24">
      <w:pPr>
        <w:spacing w:line="240" w:lineRule="auto"/>
        <w:contextualSpacing/>
        <w:jc w:val="both"/>
        <w:rPr>
          <w:rFonts w:ascii="Lucida Bright" w:hAnsi="Lucida Bright"/>
        </w:rPr>
      </w:pPr>
      <w:r w:rsidRPr="00B022FF">
        <w:rPr>
          <w:rFonts w:ascii="Lucida Bright" w:hAnsi="Lucida Bright"/>
        </w:rPr>
        <w:t>Un</w:t>
      </w:r>
      <w:r w:rsidR="00901447" w:rsidRPr="00B022FF">
        <w:rPr>
          <w:rFonts w:ascii="Lucida Bright" w:hAnsi="Lucida Bright"/>
        </w:rPr>
        <w:t>e taxe foncière générale de 0.90</w:t>
      </w:r>
      <w:r w:rsidRPr="00B022FF">
        <w:rPr>
          <w:rFonts w:ascii="Lucida Bright" w:hAnsi="Lucida Bright"/>
        </w:rPr>
        <w:t>$ par cent (100.00$)</w:t>
      </w:r>
      <w:r w:rsidR="00620A7D" w:rsidRPr="00B022FF">
        <w:rPr>
          <w:rFonts w:ascii="Lucida Bright" w:hAnsi="Lucida Bright"/>
        </w:rPr>
        <w:t xml:space="preserve"> d’évaluation de la valeur portée au rôle d’évaluation en vigueur imposée et sera prélevée sur tout terrain, lot ou partie de lot avec toutes les constructions qui y sont érigées s’il y en a, en vertu de la Loi sur les biens fonds imposables aux immeubles.</w:t>
      </w:r>
    </w:p>
    <w:p w:rsidR="00982147" w:rsidRPr="00B022FF" w:rsidRDefault="00982147" w:rsidP="00AE6B24">
      <w:pPr>
        <w:spacing w:line="240" w:lineRule="auto"/>
        <w:contextualSpacing/>
        <w:jc w:val="both"/>
        <w:rPr>
          <w:rFonts w:ascii="Lucida Bright" w:hAnsi="Lucida Bright"/>
        </w:rPr>
      </w:pPr>
    </w:p>
    <w:p w:rsidR="00FA0AEB" w:rsidRPr="00B022FF" w:rsidRDefault="006B2495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4</w:t>
      </w:r>
      <w:r w:rsidR="007C5246" w:rsidRPr="00B022FF">
        <w:rPr>
          <w:rFonts w:ascii="Lucida Bright" w:hAnsi="Lucida Bright"/>
          <w:b/>
          <w:sz w:val="20"/>
          <w:szCs w:val="20"/>
        </w:rPr>
        <w:t> :</w:t>
      </w:r>
    </w:p>
    <w:p w:rsidR="007C5246" w:rsidRPr="00B022FF" w:rsidRDefault="007C5246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tarif de compensation pour les services d’aqueduc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7C5246" w:rsidRPr="00B022FF" w:rsidTr="007C5246">
        <w:tc>
          <w:tcPr>
            <w:tcW w:w="3583" w:type="dxa"/>
          </w:tcPr>
          <w:p w:rsidR="007C5246" w:rsidRPr="00B022FF" w:rsidRDefault="007C5246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434.40$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244.70$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244.70$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 xml:space="preserve">I)Résidence 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J)Immeuble à logement (par unité logement)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194.70$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K)Résidence</w:t>
            </w:r>
            <w:r w:rsidR="004D1856" w:rsidRPr="00B022FF">
              <w:rPr>
                <w:rFonts w:ascii="Lucida Bright" w:hAnsi="Lucida Bright"/>
                <w:sz w:val="16"/>
                <w:szCs w:val="16"/>
              </w:rPr>
              <w:t>s</w:t>
            </w:r>
            <w:r w:rsidRPr="00B022FF">
              <w:rPr>
                <w:rFonts w:ascii="Lucida Bright" w:hAnsi="Lucida Bright"/>
                <w:sz w:val="16"/>
                <w:szCs w:val="16"/>
              </w:rPr>
              <w:t xml:space="preserve"> de personnes âgées :</w:t>
            </w:r>
          </w:p>
        </w:tc>
        <w:tc>
          <w:tcPr>
            <w:tcW w:w="3583" w:type="dxa"/>
          </w:tcPr>
          <w:p w:rsidR="007C5246" w:rsidRPr="00B022FF" w:rsidRDefault="007C5246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434.40$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A561D2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7C5246" w:rsidRPr="00B022FF" w:rsidRDefault="00A561D2" w:rsidP="00A561D2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289.70$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1D286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7C5246" w:rsidRPr="00B022FF" w:rsidRDefault="001D286A" w:rsidP="001D286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289.70$</w:t>
            </w:r>
          </w:p>
        </w:tc>
      </w:tr>
      <w:tr w:rsidR="007C5246" w:rsidRPr="00B022FF" w:rsidTr="007C5246">
        <w:tc>
          <w:tcPr>
            <w:tcW w:w="3583" w:type="dxa"/>
          </w:tcPr>
          <w:p w:rsidR="007C5246" w:rsidRPr="00B022FF" w:rsidRDefault="008D3633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7C5246" w:rsidRPr="00B022FF" w:rsidRDefault="008D3633" w:rsidP="008D3633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58.40$</w:t>
            </w:r>
          </w:p>
        </w:tc>
      </w:tr>
    </w:tbl>
    <w:p w:rsidR="007C5246" w:rsidRPr="00B022FF" w:rsidRDefault="007C5246" w:rsidP="007C524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  <w:r w:rsidRPr="00B022FF">
        <w:rPr>
          <w:rFonts w:ascii="Lucida Bright" w:hAnsi="Lucida Bright"/>
          <w:sz w:val="16"/>
          <w:szCs w:val="16"/>
        </w:rPr>
        <w:tab/>
      </w:r>
      <w:r w:rsidRPr="00B022FF">
        <w:rPr>
          <w:rFonts w:ascii="Lucida Bright" w:hAnsi="Lucida Bright"/>
          <w:sz w:val="16"/>
          <w:szCs w:val="16"/>
        </w:rPr>
        <w:tab/>
      </w:r>
      <w:r w:rsidRPr="00B022FF">
        <w:rPr>
          <w:rFonts w:ascii="Lucida Bright" w:hAnsi="Lucida Bright"/>
          <w:sz w:val="16"/>
          <w:szCs w:val="16"/>
        </w:rPr>
        <w:tab/>
      </w:r>
      <w:r w:rsidRPr="00B022FF">
        <w:rPr>
          <w:rFonts w:ascii="Lucida Bright" w:hAnsi="Lucida Bright"/>
          <w:sz w:val="16"/>
          <w:szCs w:val="16"/>
        </w:rPr>
        <w:tab/>
      </w:r>
    </w:p>
    <w:p w:rsidR="00A561D2" w:rsidRPr="00B022FF" w:rsidRDefault="006B2495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5</w:t>
      </w:r>
      <w:r w:rsidR="001D286A" w:rsidRPr="00B022FF">
        <w:rPr>
          <w:rFonts w:ascii="Lucida Bright" w:hAnsi="Lucida Bright"/>
          <w:b/>
          <w:sz w:val="20"/>
          <w:szCs w:val="20"/>
        </w:rPr>
        <w:t> :</w:t>
      </w:r>
    </w:p>
    <w:p w:rsidR="001D286A" w:rsidRPr="00B022FF" w:rsidRDefault="001D286A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tarif de compensation pour les services d’égoûts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1D286A" w:rsidRPr="00B022FF" w:rsidTr="001D286A">
        <w:tc>
          <w:tcPr>
            <w:tcW w:w="3583" w:type="dxa"/>
          </w:tcPr>
          <w:p w:rsidR="001D286A" w:rsidRPr="00B022FF" w:rsidRDefault="001D286A" w:rsidP="001D286A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lastRenderedPageBreak/>
              <w:t>A)Hôtel, motel y compris la résidence</w:t>
            </w:r>
          </w:p>
        </w:tc>
        <w:tc>
          <w:tcPr>
            <w:tcW w:w="3583" w:type="dxa"/>
          </w:tcPr>
          <w:p w:rsidR="001D286A" w:rsidRPr="00B022FF" w:rsidRDefault="008D3633" w:rsidP="001D286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292.05$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8D3633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1D286A" w:rsidRPr="00B022FF" w:rsidRDefault="008D3633" w:rsidP="008D3633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8D3633" w:rsidP="008D3633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1D286A" w:rsidRPr="00B022FF" w:rsidRDefault="008D3633" w:rsidP="008D3633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8D3633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1D286A" w:rsidRPr="00B022FF" w:rsidRDefault="004D1856" w:rsidP="008D3633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117.35$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117.35$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97.35$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1D286A" w:rsidRPr="00B022FF" w:rsidRDefault="001D286A" w:rsidP="007C5246">
            <w:pPr>
              <w:contextualSpacing/>
              <w:jc w:val="both"/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292.05$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157.35$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157.35$</w:t>
            </w:r>
          </w:p>
        </w:tc>
      </w:tr>
      <w:tr w:rsidR="001D286A" w:rsidRPr="00B022FF" w:rsidTr="001D286A">
        <w:tc>
          <w:tcPr>
            <w:tcW w:w="3583" w:type="dxa"/>
          </w:tcPr>
          <w:p w:rsidR="001D286A" w:rsidRPr="00B022FF" w:rsidRDefault="004D1856" w:rsidP="004D1856">
            <w:pPr>
              <w:contextualSpacing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1D286A" w:rsidRPr="00B022FF" w:rsidRDefault="004D1856" w:rsidP="004D1856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29.20$</w:t>
            </w:r>
          </w:p>
        </w:tc>
      </w:tr>
    </w:tbl>
    <w:p w:rsidR="001D286A" w:rsidRPr="00B022FF" w:rsidRDefault="001D286A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4D1856" w:rsidRPr="00B022FF" w:rsidRDefault="006B2495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6</w:t>
      </w:r>
      <w:r w:rsidR="00F74BE7" w:rsidRPr="00B022FF">
        <w:rPr>
          <w:rFonts w:ascii="Lucida Bright" w:hAnsi="Lucida Bright"/>
          <w:b/>
          <w:sz w:val="20"/>
          <w:szCs w:val="20"/>
        </w:rPr>
        <w:t> :</w:t>
      </w:r>
    </w:p>
    <w:p w:rsidR="00F74BE7" w:rsidRPr="00B022FF" w:rsidRDefault="00F74BE7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tarif de compensation pour les services d’assainissement des eaux usées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337.70$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164.72$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164.72$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F74BE7" w:rsidRPr="00B022FF" w:rsidRDefault="00F74BE7" w:rsidP="00F74BE7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144.72$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F74BE7" w:rsidRPr="00B022FF" w:rsidRDefault="00F74BE7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337.70$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204.72$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204.72$</w:t>
            </w:r>
          </w:p>
        </w:tc>
      </w:tr>
      <w:tr w:rsidR="00F74BE7" w:rsidRPr="00B022FF" w:rsidTr="00F74BE7">
        <w:tc>
          <w:tcPr>
            <w:tcW w:w="3583" w:type="dxa"/>
          </w:tcPr>
          <w:p w:rsidR="00F74BE7" w:rsidRPr="00B022FF" w:rsidRDefault="00C55C1A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F74BE7" w:rsidRPr="00B022FF" w:rsidRDefault="00C55C1A" w:rsidP="00C55C1A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43.40$</w:t>
            </w:r>
          </w:p>
        </w:tc>
      </w:tr>
    </w:tbl>
    <w:p w:rsidR="00057DAE" w:rsidRPr="00B022FF" w:rsidRDefault="00057DAE" w:rsidP="007C524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90219C" w:rsidRPr="00B022FF" w:rsidRDefault="0090219C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C55C1A" w:rsidRPr="00B022FF" w:rsidRDefault="006B2495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7</w:t>
      </w:r>
      <w:r w:rsidR="00057DAE" w:rsidRPr="00B022FF">
        <w:rPr>
          <w:rFonts w:ascii="Lucida Bright" w:hAnsi="Lucida Bright"/>
          <w:b/>
          <w:sz w:val="20"/>
          <w:szCs w:val="20"/>
        </w:rPr>
        <w:t> :</w:t>
      </w:r>
    </w:p>
    <w:p w:rsidR="00057DAE" w:rsidRPr="00B022FF" w:rsidRDefault="00057DA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tarif de compensation pour le service de cueillette des ordures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A)Hôtel, motel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238.20$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057DAE" w:rsidRPr="00B022FF" w:rsidRDefault="00057DAE" w:rsidP="00057DAE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218.20$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K</w:t>
            </w:r>
            <w:r w:rsidR="00A63ACD" w:rsidRPr="00B022FF">
              <w:rPr>
                <w:rFonts w:ascii="Lucida Bright" w:hAnsi="Lucida Bright"/>
                <w:sz w:val="16"/>
                <w:szCs w:val="16"/>
              </w:rPr>
              <w:t>)Résidences de personnes âgées :</w:t>
            </w:r>
          </w:p>
        </w:tc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A63ACD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Plus de neuf (9) logements</w:t>
            </w:r>
          </w:p>
        </w:tc>
        <w:tc>
          <w:tcPr>
            <w:tcW w:w="3583" w:type="dxa"/>
          </w:tcPr>
          <w:p w:rsidR="00057DAE" w:rsidRPr="00B022FF" w:rsidRDefault="00A63ACD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436.40$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A63ACD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Moins de neuf (9) logements</w:t>
            </w:r>
          </w:p>
        </w:tc>
        <w:tc>
          <w:tcPr>
            <w:tcW w:w="3583" w:type="dxa"/>
          </w:tcPr>
          <w:p w:rsidR="00057DAE" w:rsidRPr="00B022FF" w:rsidRDefault="00A63ACD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436.40$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A63ACD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057DAE" w:rsidRPr="00B022FF" w:rsidRDefault="00A63ACD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436.40$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A63ACD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M)Chalet</w:t>
            </w:r>
          </w:p>
        </w:tc>
        <w:tc>
          <w:tcPr>
            <w:tcW w:w="3583" w:type="dxa"/>
          </w:tcPr>
          <w:p w:rsidR="00057DAE" w:rsidRPr="00B022FF" w:rsidRDefault="00A63ACD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  <w:r w:rsidRPr="00B022FF">
              <w:rPr>
                <w:rFonts w:ascii="Lucida Bright" w:hAnsi="Lucida Bright"/>
                <w:sz w:val="16"/>
                <w:szCs w:val="16"/>
              </w:rPr>
              <w:t>65.00$</w:t>
            </w:r>
          </w:p>
        </w:tc>
      </w:tr>
      <w:tr w:rsidR="00057DAE" w:rsidRPr="00B022FF" w:rsidTr="00057DAE">
        <w:tc>
          <w:tcPr>
            <w:tcW w:w="3583" w:type="dxa"/>
          </w:tcPr>
          <w:p w:rsidR="00057DAE" w:rsidRPr="00B022FF" w:rsidRDefault="00057DAE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</w:tc>
        <w:tc>
          <w:tcPr>
            <w:tcW w:w="3583" w:type="dxa"/>
          </w:tcPr>
          <w:p w:rsidR="00057DAE" w:rsidRPr="00B022FF" w:rsidRDefault="00057DAE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6B2495" w:rsidRPr="00B022FF" w:rsidTr="00057DAE">
        <w:tc>
          <w:tcPr>
            <w:tcW w:w="3583" w:type="dxa"/>
          </w:tcPr>
          <w:p w:rsidR="006B2495" w:rsidRPr="00B022FF" w:rsidRDefault="006B2495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  <w:p w:rsidR="006B2495" w:rsidRPr="00B022FF" w:rsidRDefault="006B2495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  <w:p w:rsidR="006B2495" w:rsidRPr="00B022FF" w:rsidRDefault="006B2495" w:rsidP="007C5246">
            <w:pPr>
              <w:contextualSpacing/>
              <w:jc w:val="both"/>
              <w:rPr>
                <w:rFonts w:ascii="Lucida Bright" w:hAnsi="Lucida Bright"/>
                <w:sz w:val="16"/>
                <w:szCs w:val="16"/>
              </w:rPr>
            </w:pPr>
          </w:p>
        </w:tc>
        <w:tc>
          <w:tcPr>
            <w:tcW w:w="3583" w:type="dxa"/>
          </w:tcPr>
          <w:p w:rsidR="006B2495" w:rsidRPr="00B022FF" w:rsidRDefault="006B2495" w:rsidP="00A63ACD">
            <w:pPr>
              <w:contextualSpacing/>
              <w:jc w:val="right"/>
              <w:rPr>
                <w:rFonts w:ascii="Lucida Bright" w:hAnsi="Lucida Bright"/>
                <w:sz w:val="16"/>
                <w:szCs w:val="16"/>
              </w:rPr>
            </w:pPr>
          </w:p>
        </w:tc>
      </w:tr>
    </w:tbl>
    <w:p w:rsidR="00057DAE" w:rsidRPr="00B022FF" w:rsidRDefault="00057DAE" w:rsidP="007C5246">
      <w:pPr>
        <w:spacing w:line="240" w:lineRule="auto"/>
        <w:contextualSpacing/>
        <w:jc w:val="both"/>
        <w:rPr>
          <w:rFonts w:ascii="Lucida Bright" w:hAnsi="Lucida Bright"/>
          <w:sz w:val="16"/>
          <w:szCs w:val="16"/>
        </w:rPr>
      </w:pPr>
    </w:p>
    <w:p w:rsidR="0090219C" w:rsidRPr="00B022FF" w:rsidRDefault="00CC6F77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8 :</w:t>
      </w:r>
    </w:p>
    <w:p w:rsidR="00CC6F77" w:rsidRPr="00B022FF" w:rsidRDefault="00CC6F77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 xml:space="preserve">Le tarif de compensation pour le service de vidange de boue </w:t>
      </w:r>
      <w:r w:rsidR="00760331">
        <w:rPr>
          <w:rFonts w:ascii="Lucida Bright" w:hAnsi="Lucida Bright"/>
          <w:sz w:val="20"/>
          <w:szCs w:val="20"/>
        </w:rPr>
        <w:t xml:space="preserve">fosse </w:t>
      </w:r>
      <w:r w:rsidRPr="00B022FF">
        <w:rPr>
          <w:rFonts w:ascii="Lucida Bright" w:hAnsi="Lucida Bright"/>
          <w:sz w:val="20"/>
          <w:szCs w:val="20"/>
        </w:rPr>
        <w:t>septique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0A1D3E" w:rsidRPr="00B022FF" w:rsidTr="000A1D3E">
        <w:tc>
          <w:tcPr>
            <w:tcW w:w="3583" w:type="dxa"/>
          </w:tcPr>
          <w:p w:rsidR="000A1D3E" w:rsidRPr="00B022FF" w:rsidRDefault="000A1D3E" w:rsidP="000A1D3E">
            <w:pPr>
              <w:jc w:val="both"/>
              <w:rPr>
                <w:rFonts w:ascii="Lucida Bright" w:hAnsi="Lucida Bright"/>
                <w:sz w:val="20"/>
                <w:szCs w:val="20"/>
              </w:rPr>
            </w:pPr>
            <w:proofErr w:type="gramStart"/>
            <w:r w:rsidRPr="00B022FF">
              <w:rPr>
                <w:rFonts w:ascii="Lucida Bright" w:hAnsi="Lucida Bright"/>
                <w:sz w:val="20"/>
                <w:szCs w:val="20"/>
              </w:rPr>
              <w:t>A)Résidence</w:t>
            </w:r>
            <w:proofErr w:type="gramEnd"/>
            <w:r w:rsidRPr="00B022FF">
              <w:rPr>
                <w:rFonts w:ascii="Lucida Bright" w:hAnsi="Lucida Bright"/>
                <w:sz w:val="20"/>
                <w:szCs w:val="20"/>
              </w:rPr>
              <w:t>-chalet</w:t>
            </w:r>
          </w:p>
        </w:tc>
        <w:tc>
          <w:tcPr>
            <w:tcW w:w="3583" w:type="dxa"/>
          </w:tcPr>
          <w:p w:rsidR="000A1D3E" w:rsidRPr="00B022FF" w:rsidRDefault="000A1D3E" w:rsidP="000A1D3E">
            <w:pPr>
              <w:contextualSpacing/>
              <w:jc w:val="right"/>
              <w:rPr>
                <w:rFonts w:ascii="Lucida Bright" w:hAnsi="Lucida Bright"/>
                <w:sz w:val="20"/>
                <w:szCs w:val="20"/>
              </w:rPr>
            </w:pPr>
            <w:r w:rsidRPr="00B022FF">
              <w:rPr>
                <w:rFonts w:ascii="Lucida Bright" w:hAnsi="Lucida Bright"/>
                <w:sz w:val="20"/>
                <w:szCs w:val="20"/>
              </w:rPr>
              <w:t>205.46$</w:t>
            </w:r>
          </w:p>
        </w:tc>
      </w:tr>
    </w:tbl>
    <w:p w:rsidR="00CC6F77" w:rsidRPr="00B022FF" w:rsidRDefault="00CC6F77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63ACD" w:rsidRPr="00B022FF" w:rsidRDefault="000A1D3E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 w:rsidRPr="00B022FF">
        <w:rPr>
          <w:rFonts w:ascii="Lucida Bright" w:hAnsi="Lucida Bright"/>
          <w:b/>
          <w:sz w:val="20"/>
          <w:szCs w:val="20"/>
        </w:rPr>
        <w:t>ARTICLE 9</w:t>
      </w:r>
      <w:r w:rsidR="00F57726" w:rsidRPr="00B022FF">
        <w:rPr>
          <w:rFonts w:ascii="Lucida Bright" w:hAnsi="Lucida Bright"/>
          <w:b/>
          <w:sz w:val="20"/>
          <w:szCs w:val="20"/>
        </w:rPr>
        <w:t> :</w:t>
      </w:r>
    </w:p>
    <w:p w:rsidR="006B2495" w:rsidRPr="00B022FF" w:rsidRDefault="006B2495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tarif pour l’ouverture et/ou fermeture de valve d’eau</w:t>
      </w:r>
      <w:r w:rsidR="003F1BC5" w:rsidRPr="00B022FF">
        <w:rPr>
          <w:rFonts w:ascii="Lucida Bright" w:hAnsi="Lucida Bright"/>
          <w:sz w:val="20"/>
          <w:szCs w:val="20"/>
        </w:rPr>
        <w:t xml:space="preserve"> pour les immeubles saisonniers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3F1BC5" w:rsidRPr="00B022FF" w:rsidTr="003F1BC5">
        <w:tc>
          <w:tcPr>
            <w:tcW w:w="3583" w:type="dxa"/>
          </w:tcPr>
          <w:p w:rsidR="003F1BC5" w:rsidRPr="00B022FF" w:rsidRDefault="003F1BC5" w:rsidP="007C5246">
            <w:pPr>
              <w:contextualSpacing/>
              <w:jc w:val="both"/>
              <w:rPr>
                <w:rFonts w:ascii="Lucida Bright" w:hAnsi="Lucida Bright"/>
                <w:sz w:val="20"/>
                <w:szCs w:val="20"/>
              </w:rPr>
            </w:pPr>
            <w:r w:rsidRPr="00B022FF">
              <w:rPr>
                <w:rFonts w:ascii="Lucida Bright" w:hAnsi="Lucida Bright"/>
                <w:sz w:val="20"/>
                <w:szCs w:val="20"/>
              </w:rPr>
              <w:t>Ouverture de valve d’eau</w:t>
            </w:r>
          </w:p>
        </w:tc>
        <w:tc>
          <w:tcPr>
            <w:tcW w:w="3583" w:type="dxa"/>
          </w:tcPr>
          <w:p w:rsidR="003F1BC5" w:rsidRPr="00B022FF" w:rsidRDefault="003F1BC5" w:rsidP="003F1BC5">
            <w:pPr>
              <w:contextualSpacing/>
              <w:jc w:val="right"/>
              <w:rPr>
                <w:rFonts w:ascii="Lucida Bright" w:hAnsi="Lucida Bright"/>
                <w:sz w:val="20"/>
                <w:szCs w:val="20"/>
              </w:rPr>
            </w:pPr>
            <w:r w:rsidRPr="00B022FF">
              <w:rPr>
                <w:rFonts w:ascii="Lucida Bright" w:hAnsi="Lucida Bright"/>
                <w:sz w:val="20"/>
                <w:szCs w:val="20"/>
              </w:rPr>
              <w:t>20.00$</w:t>
            </w:r>
          </w:p>
        </w:tc>
      </w:tr>
      <w:tr w:rsidR="003F1BC5" w:rsidRPr="00B022FF" w:rsidTr="003F1BC5">
        <w:tc>
          <w:tcPr>
            <w:tcW w:w="3583" w:type="dxa"/>
          </w:tcPr>
          <w:p w:rsidR="003F1BC5" w:rsidRPr="00B022FF" w:rsidRDefault="003F1BC5" w:rsidP="007C5246">
            <w:pPr>
              <w:contextualSpacing/>
              <w:jc w:val="both"/>
              <w:rPr>
                <w:rFonts w:ascii="Lucida Bright" w:hAnsi="Lucida Bright"/>
                <w:sz w:val="20"/>
                <w:szCs w:val="20"/>
              </w:rPr>
            </w:pPr>
            <w:r w:rsidRPr="00B022FF">
              <w:rPr>
                <w:rFonts w:ascii="Lucida Bright" w:hAnsi="Lucida Bright"/>
                <w:sz w:val="20"/>
                <w:szCs w:val="20"/>
              </w:rPr>
              <w:t>Fermeture de valve d’eau</w:t>
            </w:r>
          </w:p>
        </w:tc>
        <w:tc>
          <w:tcPr>
            <w:tcW w:w="3583" w:type="dxa"/>
          </w:tcPr>
          <w:p w:rsidR="003F1BC5" w:rsidRPr="00B022FF" w:rsidRDefault="003F1BC5" w:rsidP="003F1BC5">
            <w:pPr>
              <w:contextualSpacing/>
              <w:jc w:val="right"/>
              <w:rPr>
                <w:rFonts w:ascii="Lucida Bright" w:hAnsi="Lucida Bright"/>
                <w:sz w:val="20"/>
                <w:szCs w:val="20"/>
              </w:rPr>
            </w:pPr>
            <w:r w:rsidRPr="00B022FF">
              <w:rPr>
                <w:rFonts w:ascii="Lucida Bright" w:hAnsi="Lucida Bright"/>
                <w:sz w:val="20"/>
                <w:szCs w:val="20"/>
              </w:rPr>
              <w:t>20.00$</w:t>
            </w:r>
          </w:p>
        </w:tc>
      </w:tr>
      <w:tr w:rsidR="003F1BC5" w:rsidRPr="00B022FF" w:rsidTr="003F1BC5">
        <w:tc>
          <w:tcPr>
            <w:tcW w:w="3583" w:type="dxa"/>
          </w:tcPr>
          <w:p w:rsidR="003F1BC5" w:rsidRPr="00B022FF" w:rsidRDefault="003F1BC5" w:rsidP="007C5246">
            <w:pPr>
              <w:contextualSpacing/>
              <w:jc w:val="both"/>
              <w:rPr>
                <w:rFonts w:ascii="Lucida Bright" w:hAnsi="Lucida Bright"/>
                <w:sz w:val="20"/>
                <w:szCs w:val="20"/>
              </w:rPr>
            </w:pPr>
          </w:p>
        </w:tc>
        <w:tc>
          <w:tcPr>
            <w:tcW w:w="3583" w:type="dxa"/>
          </w:tcPr>
          <w:p w:rsidR="003F1BC5" w:rsidRPr="00B022FF" w:rsidRDefault="003F1BC5" w:rsidP="007C5246">
            <w:pPr>
              <w:contextualSpacing/>
              <w:jc w:val="both"/>
              <w:rPr>
                <w:rFonts w:ascii="Lucida Bright" w:hAnsi="Lucida Bright"/>
                <w:sz w:val="20"/>
                <w:szCs w:val="20"/>
              </w:rPr>
            </w:pPr>
          </w:p>
        </w:tc>
      </w:tr>
    </w:tbl>
    <w:p w:rsidR="003F1BC5" w:rsidRDefault="003F1BC5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67CEF" w:rsidRPr="00967CE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 10 :</w:t>
      </w:r>
    </w:p>
    <w:p w:rsidR="00F57726" w:rsidRDefault="00F57726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Les taxes sont payables dans les délais prescrits par la Loi après transmissions des comptes.</w:t>
      </w:r>
    </w:p>
    <w:p w:rsidR="00B022FF" w:rsidRPr="00B022FF" w:rsidRDefault="00B022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777E8" w:rsidRPr="00B022FF" w:rsidRDefault="003777E8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3777E8" w:rsidRPr="00B022F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 11</w:t>
      </w:r>
      <w:r w:rsidR="00EA58F0" w:rsidRPr="00B022FF">
        <w:rPr>
          <w:rFonts w:ascii="Lucida Bright" w:hAnsi="Lucida Bright"/>
          <w:b/>
          <w:sz w:val="20"/>
          <w:szCs w:val="20"/>
        </w:rPr>
        <w:t> :</w:t>
      </w:r>
    </w:p>
    <w:p w:rsidR="00F57726" w:rsidRPr="00B022FF" w:rsidRDefault="00F57726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Les taxes portent intérêt à un taux de 12% l’an à compter de l’expiration du délai de trente (30) jours suivants la transmission du compte de taxe</w:t>
      </w:r>
      <w:r w:rsidR="00CF52F3" w:rsidRPr="00B022FF">
        <w:rPr>
          <w:rFonts w:ascii="Lucida Bright" w:hAnsi="Lucida Bright"/>
          <w:sz w:val="20"/>
          <w:szCs w:val="20"/>
        </w:rPr>
        <w:t>s pour l’exercice financier 2020</w:t>
      </w:r>
      <w:r w:rsidRPr="00B022FF">
        <w:rPr>
          <w:rFonts w:ascii="Lucida Bright" w:hAnsi="Lucida Bright"/>
          <w:sz w:val="20"/>
          <w:szCs w:val="20"/>
        </w:rPr>
        <w:t xml:space="preserve"> et en quatre (4) versements payables aux dates prescrites.</w:t>
      </w:r>
    </w:p>
    <w:p w:rsidR="00232460" w:rsidRPr="00B022FF" w:rsidRDefault="0023246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32460" w:rsidRPr="00B022F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 12</w:t>
      </w:r>
      <w:r w:rsidR="00232460" w:rsidRPr="00B022FF">
        <w:rPr>
          <w:rFonts w:ascii="Lucida Bright" w:hAnsi="Lucida Bright"/>
          <w:b/>
          <w:sz w:val="20"/>
          <w:szCs w:val="20"/>
        </w:rPr>
        <w:t> :</w:t>
      </w:r>
    </w:p>
    <w:p w:rsidR="00232460" w:rsidRPr="00B022FF" w:rsidRDefault="0023246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secrétaire-trésorier est, par les présentes, autorisé à préparer immédiatement le rô</w:t>
      </w:r>
      <w:r w:rsidR="007B4889" w:rsidRPr="00B022FF">
        <w:rPr>
          <w:rFonts w:ascii="Lucida Bright" w:hAnsi="Lucida Bright"/>
          <w:sz w:val="20"/>
          <w:szCs w:val="20"/>
        </w:rPr>
        <w:t xml:space="preserve">le de </w:t>
      </w:r>
      <w:r w:rsidR="00CF52F3" w:rsidRPr="00B022FF">
        <w:rPr>
          <w:rFonts w:ascii="Lucida Bright" w:hAnsi="Lucida Bright"/>
          <w:sz w:val="20"/>
          <w:szCs w:val="20"/>
        </w:rPr>
        <w:t>perception de l’année 2020</w:t>
      </w:r>
      <w:r w:rsidRPr="00B022FF">
        <w:rPr>
          <w:rFonts w:ascii="Lucida Bright" w:hAnsi="Lucida Bright"/>
          <w:sz w:val="20"/>
          <w:szCs w:val="20"/>
        </w:rPr>
        <w:t xml:space="preserve"> et à y inscrire toutes les taxes dues et exigibles en vertu des règlements municipaux et est autorisé à percevoir toutes ces taxes conformément à la Loi.</w:t>
      </w:r>
    </w:p>
    <w:p w:rsidR="002374E9" w:rsidRPr="00B022FF" w:rsidRDefault="002374E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374E9" w:rsidRPr="00B022F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 13</w:t>
      </w:r>
      <w:r w:rsidR="002374E9" w:rsidRPr="00B022FF">
        <w:rPr>
          <w:rFonts w:ascii="Lucida Bright" w:hAnsi="Lucida Bright"/>
          <w:b/>
          <w:sz w:val="20"/>
          <w:szCs w:val="20"/>
        </w:rPr>
        <w:t> :</w:t>
      </w:r>
    </w:p>
    <w:p w:rsidR="002374E9" w:rsidRPr="00B022FF" w:rsidRDefault="002374E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 xml:space="preserve">La rémunération des élus est haussée </w:t>
      </w:r>
      <w:r w:rsidR="000A1D3E" w:rsidRPr="00B022FF">
        <w:rPr>
          <w:rFonts w:ascii="Lucida Bright" w:hAnsi="Lucida Bright"/>
          <w:sz w:val="20"/>
          <w:szCs w:val="20"/>
        </w:rPr>
        <w:t xml:space="preserve">de  2% </w:t>
      </w:r>
      <w:r w:rsidRPr="00B022FF">
        <w:rPr>
          <w:rFonts w:ascii="Lucida Bright" w:hAnsi="Lucida Bright"/>
          <w:sz w:val="20"/>
          <w:szCs w:val="20"/>
        </w:rPr>
        <w:t>selon le règlement établit.</w:t>
      </w:r>
    </w:p>
    <w:p w:rsidR="002374E9" w:rsidRPr="00B022FF" w:rsidRDefault="002374E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374E9" w:rsidRPr="00B022F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 14</w:t>
      </w:r>
      <w:r w:rsidR="002374E9" w:rsidRPr="00B022FF">
        <w:rPr>
          <w:rFonts w:ascii="Lucida Bright" w:hAnsi="Lucida Bright"/>
          <w:b/>
          <w:sz w:val="20"/>
          <w:szCs w:val="20"/>
        </w:rPr>
        <w:t> :</w:t>
      </w:r>
    </w:p>
    <w:p w:rsidR="002374E9" w:rsidRPr="00B022FF" w:rsidRDefault="002374E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salaire des em</w:t>
      </w:r>
      <w:r w:rsidR="000A1D3E" w:rsidRPr="00B022FF">
        <w:rPr>
          <w:rFonts w:ascii="Lucida Bright" w:hAnsi="Lucida Bright"/>
          <w:sz w:val="20"/>
          <w:szCs w:val="20"/>
        </w:rPr>
        <w:t xml:space="preserve">ployés </w:t>
      </w:r>
      <w:r w:rsidR="0092015D">
        <w:rPr>
          <w:rFonts w:ascii="Lucida Bright" w:hAnsi="Lucida Bright"/>
          <w:sz w:val="20"/>
          <w:szCs w:val="20"/>
        </w:rPr>
        <w:t xml:space="preserve">municipaux </w:t>
      </w:r>
      <w:r w:rsidR="000A1D3E" w:rsidRPr="00B022FF">
        <w:rPr>
          <w:rFonts w:ascii="Lucida Bright" w:hAnsi="Lucida Bright"/>
          <w:sz w:val="20"/>
          <w:szCs w:val="20"/>
        </w:rPr>
        <w:t>est haussé de 2% pour 2020</w:t>
      </w:r>
      <w:r w:rsidRPr="00B022FF">
        <w:rPr>
          <w:rFonts w:ascii="Lucida Bright" w:hAnsi="Lucida Bright"/>
          <w:sz w:val="20"/>
          <w:szCs w:val="20"/>
        </w:rPr>
        <w:t>.</w:t>
      </w:r>
    </w:p>
    <w:p w:rsidR="0090219C" w:rsidRPr="00B022FF" w:rsidRDefault="0090219C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6369FF" w:rsidRPr="00B022FF" w:rsidRDefault="00967CEF" w:rsidP="007C524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ARTICLE 15</w:t>
      </w:r>
      <w:r w:rsidR="006369FF" w:rsidRPr="00B022FF">
        <w:rPr>
          <w:rFonts w:ascii="Lucida Bright" w:hAnsi="Lucida Bright"/>
          <w:b/>
          <w:sz w:val="20"/>
          <w:szCs w:val="20"/>
        </w:rPr>
        <w:t> :</w:t>
      </w:r>
    </w:p>
    <w:p w:rsidR="006369FF" w:rsidRPr="00B022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Le présent règlement entrera en vigueur suivant les dispositions de la Loi.</w:t>
      </w:r>
    </w:p>
    <w:p w:rsidR="006369FF" w:rsidRPr="00B022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369FF" w:rsidRPr="00B022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369FF" w:rsidRPr="00B022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369FF" w:rsidRPr="00B022FF" w:rsidRDefault="004B025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ADOP</w:t>
      </w:r>
      <w:r w:rsidR="000A1D3E" w:rsidRPr="00B022FF">
        <w:rPr>
          <w:rFonts w:ascii="Lucida Bright" w:hAnsi="Lucida Bright"/>
          <w:sz w:val="20"/>
          <w:szCs w:val="20"/>
        </w:rPr>
        <w:t>TION DU PROJET DE RÈGLEMENT : 18 DÉCEMBRE 2019</w:t>
      </w:r>
    </w:p>
    <w:p w:rsidR="004B025E" w:rsidRPr="00B022FF" w:rsidRDefault="000A1D3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AVIS DE MOTION : 18 DÉCEMBRE 2019</w:t>
      </w:r>
    </w:p>
    <w:p w:rsidR="004B025E" w:rsidRPr="00B022FF" w:rsidRDefault="004B025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ADOPTION DU RÈGLEMENT :</w:t>
      </w:r>
      <w:r w:rsidR="000A1D3E" w:rsidRPr="00B022FF">
        <w:rPr>
          <w:rFonts w:ascii="Lucida Bright" w:hAnsi="Lucida Bright"/>
          <w:sz w:val="20"/>
          <w:szCs w:val="20"/>
        </w:rPr>
        <w:t xml:space="preserve"> 13</w:t>
      </w:r>
      <w:r w:rsidR="00D032C0" w:rsidRPr="00B022FF">
        <w:rPr>
          <w:rFonts w:ascii="Lucida Bright" w:hAnsi="Lucida Bright"/>
          <w:sz w:val="20"/>
          <w:szCs w:val="20"/>
        </w:rPr>
        <w:t xml:space="preserve"> JANVIE</w:t>
      </w:r>
      <w:r w:rsidR="000A1D3E" w:rsidRPr="00B022FF">
        <w:rPr>
          <w:rFonts w:ascii="Lucida Bright" w:hAnsi="Lucida Bright"/>
          <w:sz w:val="20"/>
          <w:szCs w:val="20"/>
        </w:rPr>
        <w:t>R 2020</w:t>
      </w:r>
    </w:p>
    <w:p w:rsidR="004B025E" w:rsidRPr="00B022FF" w:rsidRDefault="004B025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AVIS PUBLIC D’ADOPTION DU RÈGLEMENT :</w:t>
      </w:r>
      <w:r w:rsidR="000A1D3E" w:rsidRPr="00B022FF">
        <w:rPr>
          <w:rFonts w:ascii="Lucida Bright" w:hAnsi="Lucida Bright"/>
          <w:sz w:val="20"/>
          <w:szCs w:val="20"/>
        </w:rPr>
        <w:t xml:space="preserve"> 14 JANVIER 2020</w:t>
      </w:r>
    </w:p>
    <w:p w:rsidR="004B025E" w:rsidRPr="00B022FF" w:rsidRDefault="004B025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4B025E" w:rsidRPr="00B022FF" w:rsidRDefault="004B025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Pr="00B022FF" w:rsidRDefault="001C3B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</w:p>
    <w:p w:rsidR="006369FF" w:rsidRPr="00B022FF" w:rsidRDefault="006369FF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____________________________</w:t>
      </w:r>
      <w:r w:rsidRPr="00B022FF">
        <w:rPr>
          <w:rFonts w:ascii="Lucida Bright" w:hAnsi="Lucida Bright"/>
          <w:sz w:val="20"/>
          <w:szCs w:val="20"/>
        </w:rPr>
        <w:tab/>
      </w:r>
      <w:r w:rsidRPr="00B022FF">
        <w:rPr>
          <w:rFonts w:ascii="Lucida Bright" w:hAnsi="Lucida Bright"/>
          <w:sz w:val="20"/>
          <w:szCs w:val="20"/>
        </w:rPr>
        <w:tab/>
        <w:t>____________________________</w:t>
      </w:r>
    </w:p>
    <w:p w:rsidR="006369FF" w:rsidRPr="00B022FF" w:rsidRDefault="00962F2E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>Andrew Turcotte</w:t>
      </w:r>
      <w:r w:rsidR="00DA682B" w:rsidRPr="00B022FF">
        <w:rPr>
          <w:rFonts w:ascii="Lucida Bright" w:hAnsi="Lucida Bright"/>
          <w:sz w:val="20"/>
          <w:szCs w:val="20"/>
        </w:rPr>
        <w:tab/>
      </w:r>
      <w:r w:rsidR="00202950" w:rsidRPr="00B022FF">
        <w:rPr>
          <w:rFonts w:ascii="Lucida Bright" w:hAnsi="Lucida Bright"/>
          <w:sz w:val="20"/>
          <w:szCs w:val="20"/>
        </w:rPr>
        <w:tab/>
      </w:r>
      <w:r w:rsidR="00202950" w:rsidRPr="00B022FF">
        <w:rPr>
          <w:rFonts w:ascii="Lucida Bright" w:hAnsi="Lucida Bright"/>
          <w:sz w:val="20"/>
          <w:szCs w:val="20"/>
        </w:rPr>
        <w:tab/>
      </w:r>
      <w:r w:rsidRPr="00B022FF">
        <w:rPr>
          <w:rFonts w:ascii="Lucida Bright" w:hAnsi="Lucida Bright"/>
          <w:sz w:val="20"/>
          <w:szCs w:val="20"/>
        </w:rPr>
        <w:t>Yves Chassé,</w:t>
      </w:r>
      <w:r w:rsidR="003848F8" w:rsidRPr="00B022FF">
        <w:rPr>
          <w:rFonts w:ascii="Lucida Bright" w:hAnsi="Lucida Bright"/>
          <w:sz w:val="20"/>
          <w:szCs w:val="20"/>
        </w:rPr>
        <w:t xml:space="preserve"> </w:t>
      </w:r>
      <w:r w:rsidR="00202950" w:rsidRPr="00B022FF">
        <w:rPr>
          <w:rFonts w:ascii="Lucida Bright" w:hAnsi="Lucida Bright"/>
          <w:sz w:val="20"/>
          <w:szCs w:val="20"/>
        </w:rPr>
        <w:t>GMA</w:t>
      </w:r>
    </w:p>
    <w:p w:rsidR="006369FF" w:rsidRPr="00B022FF" w:rsidRDefault="00D032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 xml:space="preserve">MAIRE </w:t>
      </w:r>
      <w:r w:rsidRPr="00B022FF">
        <w:rPr>
          <w:rFonts w:ascii="Lucida Bright" w:hAnsi="Lucida Bright"/>
          <w:sz w:val="20"/>
          <w:szCs w:val="20"/>
        </w:rPr>
        <w:tab/>
      </w:r>
      <w:r w:rsidRPr="00B022FF">
        <w:rPr>
          <w:rFonts w:ascii="Lucida Bright" w:hAnsi="Lucida Bright"/>
          <w:sz w:val="20"/>
          <w:szCs w:val="20"/>
        </w:rPr>
        <w:tab/>
      </w:r>
      <w:r w:rsidR="00DA682B" w:rsidRPr="00B022FF">
        <w:rPr>
          <w:rFonts w:ascii="Lucida Bright" w:hAnsi="Lucida Bright"/>
          <w:sz w:val="20"/>
          <w:szCs w:val="20"/>
        </w:rPr>
        <w:tab/>
      </w:r>
      <w:r w:rsidR="00DA682B" w:rsidRPr="00B022FF">
        <w:rPr>
          <w:rFonts w:ascii="Lucida Bright" w:hAnsi="Lucida Bright"/>
          <w:sz w:val="20"/>
          <w:szCs w:val="20"/>
        </w:rPr>
        <w:tab/>
      </w:r>
      <w:r w:rsidR="00DA682B" w:rsidRPr="00B022FF">
        <w:rPr>
          <w:rFonts w:ascii="Lucida Bright" w:hAnsi="Lucida Bright"/>
          <w:sz w:val="20"/>
          <w:szCs w:val="20"/>
        </w:rPr>
        <w:tab/>
      </w:r>
      <w:r w:rsidR="006369FF" w:rsidRPr="00B022FF">
        <w:rPr>
          <w:rFonts w:ascii="Lucida Bright" w:hAnsi="Lucida Bright"/>
          <w:sz w:val="20"/>
          <w:szCs w:val="20"/>
        </w:rPr>
        <w:t>DIRECTEUR GÉNÉRAL</w:t>
      </w:r>
    </w:p>
    <w:p w:rsidR="006369FF" w:rsidRDefault="001C34FA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 w:rsidRPr="00B022FF">
        <w:rPr>
          <w:rFonts w:ascii="Lucida Bright" w:hAnsi="Lucida Bright"/>
          <w:sz w:val="20"/>
          <w:szCs w:val="20"/>
        </w:rPr>
        <w:tab/>
      </w:r>
      <w:r w:rsidR="00F33676" w:rsidRPr="00B022FF">
        <w:rPr>
          <w:rFonts w:ascii="Lucida Bright" w:hAnsi="Lucida Bright"/>
          <w:sz w:val="20"/>
          <w:szCs w:val="20"/>
        </w:rPr>
        <w:tab/>
      </w:r>
      <w:r w:rsidR="00F33676" w:rsidRPr="00B022FF">
        <w:rPr>
          <w:rFonts w:ascii="Lucida Bright" w:hAnsi="Lucida Bright"/>
          <w:sz w:val="20"/>
          <w:szCs w:val="20"/>
        </w:rPr>
        <w:tab/>
      </w:r>
      <w:r w:rsidR="00F33676" w:rsidRPr="00B022FF">
        <w:rPr>
          <w:rFonts w:ascii="Lucida Bright" w:hAnsi="Lucida Bright"/>
          <w:sz w:val="20"/>
          <w:szCs w:val="20"/>
        </w:rPr>
        <w:tab/>
      </w:r>
      <w:r w:rsidR="00F33676" w:rsidRPr="00B022FF">
        <w:rPr>
          <w:rFonts w:ascii="Lucida Bright" w:hAnsi="Lucida Bright"/>
          <w:sz w:val="20"/>
          <w:szCs w:val="20"/>
        </w:rPr>
        <w:tab/>
        <w:t>SECRÉTAIRE-TRÉSORIER</w:t>
      </w: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Nous, soussignés, Monsieur Andrew Turcotte, maire et Monsieur Yves Chassé, directeur général et secrétaire-trésorier de la Municipalité de Sainte-Félicité, certifions que le </w:t>
      </w:r>
      <w:r>
        <w:rPr>
          <w:rFonts w:ascii="Lucida Bright" w:hAnsi="Lucida Bright"/>
          <w:i/>
          <w:sz w:val="20"/>
          <w:szCs w:val="20"/>
        </w:rPr>
        <w:t>Règlement numéro 133 établissant les taux de taxation de la Municipalité de Sainte-Félicité pour l’exercice financier 2020</w:t>
      </w:r>
      <w:r>
        <w:rPr>
          <w:rFonts w:ascii="Lucida Bright" w:hAnsi="Lucida Bright"/>
          <w:sz w:val="20"/>
          <w:szCs w:val="20"/>
        </w:rPr>
        <w:t>, a été adopté le 13 janvier 202</w:t>
      </w:r>
      <w:r w:rsidR="001C3BC0">
        <w:rPr>
          <w:rFonts w:ascii="Lucida Bright" w:hAnsi="Lucida Bright"/>
          <w:sz w:val="20"/>
          <w:szCs w:val="20"/>
        </w:rPr>
        <w:t>0.</w:t>
      </w:r>
    </w:p>
    <w:p w:rsidR="001C3BC0" w:rsidRDefault="001C3B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C3BC0" w:rsidRDefault="001C3B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C3BC0" w:rsidRDefault="001C3B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1C3BC0" w:rsidRDefault="001C3BC0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______________________________</w:t>
      </w:r>
      <w:r>
        <w:rPr>
          <w:rFonts w:ascii="Lucida Bright" w:hAnsi="Lucida Bright"/>
          <w:sz w:val="20"/>
          <w:szCs w:val="20"/>
        </w:rPr>
        <w:tab/>
        <w:t>_____________________________</w:t>
      </w: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Andrew Turcotte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Yves Chassé, GMA</w:t>
      </w:r>
    </w:p>
    <w:p w:rsid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MAIRE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DIRECTEUR GÉNÉRAL</w:t>
      </w:r>
    </w:p>
    <w:p w:rsidR="002D2419" w:rsidRPr="002D2419" w:rsidRDefault="002D2419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SECRÉTAIRE_TRÉSORIER</w:t>
      </w:r>
    </w:p>
    <w:p w:rsidR="00F33676" w:rsidRPr="00B022FF" w:rsidRDefault="00F33676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722D14" w:rsidRPr="00B022FF" w:rsidRDefault="00722D14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722D14" w:rsidRPr="00B022FF" w:rsidRDefault="00722D14" w:rsidP="007C524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722D14" w:rsidRPr="00B022FF" w:rsidSect="00AE6B24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FBF"/>
    <w:multiLevelType w:val="hybridMultilevel"/>
    <w:tmpl w:val="5E72C790"/>
    <w:lvl w:ilvl="0" w:tplc="53F8DE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B24"/>
    <w:rsid w:val="00012F07"/>
    <w:rsid w:val="00036808"/>
    <w:rsid w:val="00057DAE"/>
    <w:rsid w:val="000746AF"/>
    <w:rsid w:val="00084904"/>
    <w:rsid w:val="00092284"/>
    <w:rsid w:val="000A1D3E"/>
    <w:rsid w:val="000F6553"/>
    <w:rsid w:val="00146669"/>
    <w:rsid w:val="00147677"/>
    <w:rsid w:val="001C34FA"/>
    <w:rsid w:val="001C3BC0"/>
    <w:rsid w:val="001D286A"/>
    <w:rsid w:val="001D6678"/>
    <w:rsid w:val="001E4580"/>
    <w:rsid w:val="00202950"/>
    <w:rsid w:val="00224F59"/>
    <w:rsid w:val="00232460"/>
    <w:rsid w:val="002374E9"/>
    <w:rsid w:val="00251810"/>
    <w:rsid w:val="00285047"/>
    <w:rsid w:val="00295F6F"/>
    <w:rsid w:val="002B0D6B"/>
    <w:rsid w:val="002B4C13"/>
    <w:rsid w:val="002C1B8B"/>
    <w:rsid w:val="002D2419"/>
    <w:rsid w:val="002E2CC1"/>
    <w:rsid w:val="002E3357"/>
    <w:rsid w:val="003777E8"/>
    <w:rsid w:val="003848F8"/>
    <w:rsid w:val="003A1756"/>
    <w:rsid w:val="003B1192"/>
    <w:rsid w:val="003D32DB"/>
    <w:rsid w:val="003D4E97"/>
    <w:rsid w:val="003F1BC5"/>
    <w:rsid w:val="0044262A"/>
    <w:rsid w:val="0044385C"/>
    <w:rsid w:val="00454775"/>
    <w:rsid w:val="004855D9"/>
    <w:rsid w:val="004A081D"/>
    <w:rsid w:val="004B025E"/>
    <w:rsid w:val="004C20AC"/>
    <w:rsid w:val="004D1856"/>
    <w:rsid w:val="00503F0F"/>
    <w:rsid w:val="00522F11"/>
    <w:rsid w:val="0052746B"/>
    <w:rsid w:val="00536CBE"/>
    <w:rsid w:val="005A6024"/>
    <w:rsid w:val="005D4D3F"/>
    <w:rsid w:val="005D7D9F"/>
    <w:rsid w:val="005E08B4"/>
    <w:rsid w:val="00615417"/>
    <w:rsid w:val="00620A7D"/>
    <w:rsid w:val="00630460"/>
    <w:rsid w:val="006369FF"/>
    <w:rsid w:val="00656C60"/>
    <w:rsid w:val="0065701B"/>
    <w:rsid w:val="00680CB5"/>
    <w:rsid w:val="00684790"/>
    <w:rsid w:val="006930F7"/>
    <w:rsid w:val="006B2495"/>
    <w:rsid w:val="00722D14"/>
    <w:rsid w:val="00735993"/>
    <w:rsid w:val="0075107F"/>
    <w:rsid w:val="00760331"/>
    <w:rsid w:val="00773B3D"/>
    <w:rsid w:val="007B02F9"/>
    <w:rsid w:val="007B4889"/>
    <w:rsid w:val="007C5246"/>
    <w:rsid w:val="007E321E"/>
    <w:rsid w:val="007E4C9A"/>
    <w:rsid w:val="00810251"/>
    <w:rsid w:val="008324CD"/>
    <w:rsid w:val="0088490D"/>
    <w:rsid w:val="0089424E"/>
    <w:rsid w:val="00894D85"/>
    <w:rsid w:val="008A2278"/>
    <w:rsid w:val="008C3F2A"/>
    <w:rsid w:val="008D3633"/>
    <w:rsid w:val="008E1A4E"/>
    <w:rsid w:val="008F43FF"/>
    <w:rsid w:val="00901447"/>
    <w:rsid w:val="0090215F"/>
    <w:rsid w:val="0090219C"/>
    <w:rsid w:val="0092015D"/>
    <w:rsid w:val="00934EB5"/>
    <w:rsid w:val="0095676D"/>
    <w:rsid w:val="00962F2E"/>
    <w:rsid w:val="00967CEF"/>
    <w:rsid w:val="00974D6E"/>
    <w:rsid w:val="00982147"/>
    <w:rsid w:val="009941E0"/>
    <w:rsid w:val="009965DD"/>
    <w:rsid w:val="009B798B"/>
    <w:rsid w:val="009C46D1"/>
    <w:rsid w:val="00A2779B"/>
    <w:rsid w:val="00A561D2"/>
    <w:rsid w:val="00A604C8"/>
    <w:rsid w:val="00A63ACD"/>
    <w:rsid w:val="00A718CF"/>
    <w:rsid w:val="00A921FD"/>
    <w:rsid w:val="00AC1334"/>
    <w:rsid w:val="00AC426A"/>
    <w:rsid w:val="00AC42BA"/>
    <w:rsid w:val="00AE2FD2"/>
    <w:rsid w:val="00AE6B24"/>
    <w:rsid w:val="00AF4B5A"/>
    <w:rsid w:val="00B022FF"/>
    <w:rsid w:val="00B154FE"/>
    <w:rsid w:val="00B2085D"/>
    <w:rsid w:val="00B33434"/>
    <w:rsid w:val="00B532A6"/>
    <w:rsid w:val="00B751AF"/>
    <w:rsid w:val="00B75473"/>
    <w:rsid w:val="00B86616"/>
    <w:rsid w:val="00B95A4E"/>
    <w:rsid w:val="00BA7C6F"/>
    <w:rsid w:val="00BD32D4"/>
    <w:rsid w:val="00C00B8E"/>
    <w:rsid w:val="00C0262E"/>
    <w:rsid w:val="00C171C0"/>
    <w:rsid w:val="00C246AC"/>
    <w:rsid w:val="00C55C1A"/>
    <w:rsid w:val="00C6264B"/>
    <w:rsid w:val="00C72843"/>
    <w:rsid w:val="00C740C5"/>
    <w:rsid w:val="00C77867"/>
    <w:rsid w:val="00CA2497"/>
    <w:rsid w:val="00CA44A6"/>
    <w:rsid w:val="00CC0748"/>
    <w:rsid w:val="00CC6F77"/>
    <w:rsid w:val="00CF52F3"/>
    <w:rsid w:val="00D032C0"/>
    <w:rsid w:val="00D23626"/>
    <w:rsid w:val="00D44B51"/>
    <w:rsid w:val="00D4558C"/>
    <w:rsid w:val="00D80B64"/>
    <w:rsid w:val="00DA5D5B"/>
    <w:rsid w:val="00DA682B"/>
    <w:rsid w:val="00DA7331"/>
    <w:rsid w:val="00DC4BF6"/>
    <w:rsid w:val="00DC7997"/>
    <w:rsid w:val="00DE6DC6"/>
    <w:rsid w:val="00DF4CAB"/>
    <w:rsid w:val="00E26854"/>
    <w:rsid w:val="00E32686"/>
    <w:rsid w:val="00E9226B"/>
    <w:rsid w:val="00EA22D0"/>
    <w:rsid w:val="00EA58F0"/>
    <w:rsid w:val="00EC3C80"/>
    <w:rsid w:val="00EE4B0E"/>
    <w:rsid w:val="00EF16AA"/>
    <w:rsid w:val="00F33676"/>
    <w:rsid w:val="00F57726"/>
    <w:rsid w:val="00F618A9"/>
    <w:rsid w:val="00F72FD1"/>
    <w:rsid w:val="00F74BE7"/>
    <w:rsid w:val="00F86227"/>
    <w:rsid w:val="00F9683A"/>
    <w:rsid w:val="00FA0AEB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1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B866-5351-47DE-9625-201A3B5E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15</cp:revision>
  <cp:lastPrinted>2020-01-23T18:01:00Z</cp:lastPrinted>
  <dcterms:created xsi:type="dcterms:W3CDTF">2019-12-18T13:17:00Z</dcterms:created>
  <dcterms:modified xsi:type="dcterms:W3CDTF">2020-01-23T18:01:00Z</dcterms:modified>
</cp:coreProperties>
</file>